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D9" w:rsidRDefault="004211D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alt="http://www.anpr.tn/uploads/RTEmagicC_TATRAC_LOGOTYPE.png.png" style="position:absolute;margin-left:153.55pt;margin-top:-4.3pt;width:142.2pt;height:100.7pt;z-index:2;visibility:visible">
            <v:imagedata r:id="rId7" o:title="RTEmagicC_TATRAC_LOGOTYPE"/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Image 3" o:spid="_x0000_s1029" type="#_x0000_t75" alt="Logo ANPR.jpg" style="position:absolute;margin-left:410.35pt;margin-top:-.8pt;width:111.75pt;height:45.6pt;z-index:4;visibility:visible">
            <v:imagedata r:id="rId8" o:title="Logo ANPR"/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Image 4" o:spid="_x0000_s1026" type="#_x0000_t75" alt="http://www.anpr.tn/uploads/pics/italietunisie.png" style="position:absolute;margin-left:-59.45pt;margin-top:5.2pt;width:122.4pt;height:39.6pt;z-index:-6;visibility:visible">
            <v:imagedata r:id="rId9" o:title="italietunisie"/>
          </v:shape>
        </w:pict>
      </w:r>
    </w:p>
    <w:p w:rsidR="004211D9" w:rsidRDefault="004211D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31" type="#_x0000_t75" alt="https://encrypted-tbn0.gstatic.com/images?q=tbn:ANd9GcQpEM3ru_8e3jeQt0NnXMYsbEXEImhcpKhv9rVIzX55Hff46Fj2NQ" style="position:absolute;margin-left:339.85pt;margin-top:21.1pt;width:23.1pt;height:18.6pt;z-index:-1;visibility:visible">
            <v:imagedata r:id="rId10" o:title="ANd9GcQpEM3ru_8e3jeQt0NnXMYsbEXEImhcpKhv9rVIzX55Hff46Fj2NQ"/>
          </v:shape>
        </w:pict>
      </w:r>
      <w:r>
        <w:rPr>
          <w:b/>
          <w:bCs/>
          <w:noProof/>
          <w:sz w:val="28"/>
          <w:szCs w:val="28"/>
          <w:lang w:eastAsia="fr-FR"/>
        </w:rPr>
        <w:pict>
          <v:shape id="rg_hi" o:spid="_x0000_s1030" type="#_x0000_t75" alt="https://encrypted-tbn0.gstatic.com/images?q=tbn:ANd9GcR26mqfy2_f6ELz4dXzf1vK4KkkNA9u3hGt1uRhocPDmm9TL02xZQ" style="position:absolute;margin-left:82.45pt;margin-top:24.65pt;width:27.3pt;height:19.8pt;z-index:-2;visibility:visible">
            <v:imagedata r:id="rId11" o:title="ANd9GcR26mqfy2_f6ELz4dXzf1vK4KkkNA9u3hGt1uRhocPDmm9TL02xZQ"/>
          </v:shape>
        </w:pict>
      </w:r>
    </w:p>
    <w:p w:rsidR="004211D9" w:rsidRDefault="004211D9">
      <w:pPr>
        <w:rPr>
          <w:b/>
          <w:bCs/>
          <w:sz w:val="28"/>
          <w:szCs w:val="28"/>
        </w:rPr>
      </w:pPr>
    </w:p>
    <w:p w:rsidR="004211D9" w:rsidRDefault="0052423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pict>
          <v:shape id="_x0000_s1028" type="#_x0000_t75" alt="home" style="position:absolute;margin-left:135pt;margin-top:19.05pt;width:207pt;height:94.25pt;z-index:-4;visibility:visible">
            <v:imagedata r:id="rId12" o:title="home"/>
          </v:shape>
        </w:pict>
      </w:r>
    </w:p>
    <w:p w:rsidR="004211D9" w:rsidRDefault="004211D9">
      <w:pPr>
        <w:rPr>
          <w:b/>
          <w:bCs/>
          <w:sz w:val="28"/>
          <w:szCs w:val="28"/>
        </w:rPr>
      </w:pPr>
    </w:p>
    <w:p w:rsidR="004211D9" w:rsidRDefault="004211D9">
      <w:pPr>
        <w:rPr>
          <w:b/>
          <w:bCs/>
          <w:sz w:val="28"/>
          <w:szCs w:val="28"/>
        </w:rPr>
      </w:pPr>
    </w:p>
    <w:p w:rsidR="004211D9" w:rsidRDefault="004211D9">
      <w:pPr>
        <w:rPr>
          <w:b/>
          <w:bCs/>
          <w:sz w:val="28"/>
          <w:szCs w:val="28"/>
        </w:rPr>
      </w:pPr>
    </w:p>
    <w:p w:rsidR="004211D9" w:rsidRDefault="00524230" w:rsidP="00524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4211D9">
        <w:rPr>
          <w:b/>
          <w:bCs/>
          <w:sz w:val="28"/>
          <w:szCs w:val="28"/>
        </w:rPr>
        <w:t>INSTITUT D’HISTOIRE DE LA TUNISIE CONTEMPORAINE</w:t>
      </w:r>
    </w:p>
    <w:p w:rsidR="004211D9" w:rsidRDefault="004211D9">
      <w:pPr>
        <w:rPr>
          <w:b/>
          <w:bCs/>
          <w:sz w:val="28"/>
          <w:szCs w:val="28"/>
        </w:rPr>
      </w:pPr>
    </w:p>
    <w:p w:rsidR="004211D9" w:rsidRDefault="004211D9" w:rsidP="004211D9">
      <w:pPr>
        <w:pStyle w:val="Default"/>
      </w:pPr>
    </w:p>
    <w:p w:rsidR="00524230" w:rsidRDefault="00524230" w:rsidP="00524230">
      <w:pPr>
        <w:pBdr>
          <w:bottom w:val="dotted" w:sz="6" w:space="9" w:color="D0D0D0"/>
        </w:pBdr>
        <w:shd w:val="clear" w:color="auto" w:fill="FFFFFF"/>
        <w:spacing w:after="225" w:line="435" w:lineRule="atLeast"/>
        <w:jc w:val="center"/>
        <w:outlineLvl w:val="0"/>
        <w:rPr>
          <w:rFonts w:ascii="Arial" w:eastAsia="Times New Roman" w:hAnsi="Arial"/>
          <w:b/>
          <w:color w:val="A50030"/>
          <w:kern w:val="36"/>
          <w:sz w:val="50"/>
          <w:szCs w:val="50"/>
          <w:lang w:eastAsia="fr-FR"/>
        </w:rPr>
      </w:pPr>
    </w:p>
    <w:p w:rsidR="00524230" w:rsidRPr="00524230" w:rsidRDefault="00524230" w:rsidP="00524230">
      <w:pPr>
        <w:pBdr>
          <w:bottom w:val="dotted" w:sz="6" w:space="9" w:color="D0D0D0"/>
        </w:pBdr>
        <w:shd w:val="clear" w:color="auto" w:fill="FFFFFF"/>
        <w:spacing w:after="225" w:line="435" w:lineRule="atLeast"/>
        <w:jc w:val="center"/>
        <w:outlineLvl w:val="0"/>
        <w:rPr>
          <w:rFonts w:ascii="Arial" w:eastAsia="Times New Roman" w:hAnsi="Arial"/>
          <w:b/>
          <w:color w:val="A50030"/>
          <w:kern w:val="36"/>
          <w:sz w:val="50"/>
          <w:szCs w:val="50"/>
          <w:lang w:eastAsia="fr-FR"/>
        </w:rPr>
      </w:pPr>
      <w:r w:rsidRPr="00524230">
        <w:rPr>
          <w:rFonts w:ascii="Arial" w:eastAsia="Times New Roman" w:hAnsi="Arial"/>
          <w:b/>
          <w:color w:val="A50030"/>
          <w:kern w:val="36"/>
          <w:sz w:val="50"/>
          <w:szCs w:val="50"/>
          <w:lang w:eastAsia="fr-FR"/>
        </w:rPr>
        <w:t>APPEL A CANDIDATURE</w:t>
      </w:r>
    </w:p>
    <w:p w:rsidR="004211D9" w:rsidRDefault="004211D9" w:rsidP="004211D9">
      <w:pPr>
        <w:pStyle w:val="Default"/>
      </w:pPr>
    </w:p>
    <w:p w:rsidR="00524230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Pr="00CE3AD2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Art.1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-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Objet de l’</w:t>
      </w: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avis public</w:t>
      </w:r>
    </w:p>
    <w:p w:rsidR="00524230" w:rsidRDefault="00524230" w:rsidP="00524230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Dans le cadre d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e ses activités relatives au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projet Tissu Associatif et Transfert de Connaissances (TATRAC 2AS3.2/008),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l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’</w:t>
      </w:r>
      <w:hyperlink r:id="rId13" w:history="1">
        <w:r w:rsidRPr="00CE3AD2">
          <w:rPr>
            <w:rFonts w:ascii="Arial" w:eastAsia="Times New Roman" w:hAnsi="Arial"/>
            <w:color w:val="141414"/>
            <w:sz w:val="24"/>
            <w:szCs w:val="24"/>
            <w:lang w:eastAsia="fr-FR"/>
          </w:rPr>
          <w:t>Institut Supérieur</w:t>
        </w:r>
      </w:hyperlink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d’Histoire de La Tunisie C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>ontemporaine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–ISHTC,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partenaire 6 du projet,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lance cet avis de consultation afin de sélectionner un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spécialiste en montage de documents audiovisuels.  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</w:p>
    <w:p w:rsidR="00524230" w:rsidRDefault="00524230" w:rsidP="00524230">
      <w:pPr>
        <w:shd w:val="clear" w:color="auto" w:fill="FFFFFF"/>
        <w:spacing w:after="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 xml:space="preserve">Art.2 - </w:t>
      </w:r>
      <w:r w:rsidRPr="00107913"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M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ission</w:t>
      </w:r>
    </w:p>
    <w:p w:rsidR="00524230" w:rsidRPr="00107913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>L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a mission consiste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à couvrir tous les évènements du projet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TATRAC,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peu imp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orte le partenaire responsable, par une caméra professionnelle (à disposition). Ensuite il sera amené à créer un document audiovisuel restituant les principales étapes du projet et en particulier les actions de transfert de connaissances dont les associations du projet vont mettre en œuvre.</w:t>
      </w: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Le candidat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retenu 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doit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absolument 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respecter les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engagements, les 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dates de livraison des documents audiovisuels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aux responsables des activités du projet TATRAC. Tous les documents produits sont la propriété de l’Agence Nationale de Promotion de la Recherche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> 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scientifique – ANPR.</w:t>
      </w:r>
    </w:p>
    <w:p w:rsidR="00524230" w:rsidRPr="00FF2535" w:rsidRDefault="00524230" w:rsidP="00524230">
      <w:pPr>
        <w:shd w:val="clear" w:color="auto" w:fill="FFFFFF"/>
        <w:spacing w:after="15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>  </w:t>
      </w:r>
    </w:p>
    <w:p w:rsidR="00524230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Pr="00CE3AD2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lastRenderedPageBreak/>
        <w:t>Art.3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-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Conditions</w:t>
      </w:r>
    </w:p>
    <w:p w:rsidR="00524230" w:rsidRPr="00CE3AD2" w:rsidRDefault="00524230" w:rsidP="00524230">
      <w:pPr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Afin de participer à cet avis public sur le site de l’Agence Nationale de Promotion de la recherche Scientifique (</w:t>
      </w:r>
      <w:hyperlink r:id="rId14" w:history="1">
        <w:r w:rsidRPr="00CE3AD2">
          <w:rPr>
            <w:rFonts w:ascii="Arial" w:eastAsia="Times New Roman" w:hAnsi="Arial"/>
            <w:color w:val="141414"/>
            <w:sz w:val="24"/>
            <w:szCs w:val="24"/>
            <w:lang w:eastAsia="fr-FR"/>
          </w:rPr>
          <w:t>www.anpr.tn</w:t>
        </w:r>
      </w:hyperlink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), le candidat soumissionnaire doit remplir au moins les conditions générales et professionnelles suivantes :</w:t>
      </w:r>
    </w:p>
    <w:p w:rsidR="00524230" w:rsidRDefault="00524230" w:rsidP="00524230">
      <w:pPr>
        <w:pStyle w:val="Listecouleur-Accent1"/>
        <w:numPr>
          <w:ilvl w:val="0"/>
          <w:numId w:val="3"/>
        </w:num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461FCE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Conditions générales :</w:t>
      </w:r>
    </w:p>
    <w:p w:rsidR="00524230" w:rsidRPr="00461FCE" w:rsidRDefault="00524230" w:rsidP="00524230">
      <w:pPr>
        <w:pStyle w:val="Listecouleur-Accent1"/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Pr="00CE3AD2" w:rsidRDefault="00524230" w:rsidP="00524230">
      <w:pPr>
        <w:pStyle w:val="Listecouleur-Accent1"/>
        <w:numPr>
          <w:ilvl w:val="0"/>
          <w:numId w:val="4"/>
        </w:numPr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Citoyenneté tunisienne ou d’un pays tiers. Dans ce dernier cas, le prestataire devra justifier une parfaite connaissance de la langue française et arabe, écrit et parlé. </w:t>
      </w:r>
    </w:p>
    <w:p w:rsidR="00524230" w:rsidRPr="00CE3AD2" w:rsidRDefault="00524230" w:rsidP="00524230">
      <w:pPr>
        <w:pStyle w:val="Listecouleur-Accent1"/>
        <w:numPr>
          <w:ilvl w:val="0"/>
          <w:numId w:val="4"/>
        </w:numPr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Jouissance des droits civils et politiques en Tunisie.</w:t>
      </w:r>
    </w:p>
    <w:p w:rsidR="00524230" w:rsidRPr="00CE3AD2" w:rsidRDefault="00524230" w:rsidP="00524230">
      <w:pPr>
        <w:pStyle w:val="Listecouleur-Accent1"/>
        <w:numPr>
          <w:ilvl w:val="0"/>
          <w:numId w:val="4"/>
        </w:numPr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Pas de condamnation pénale qui prévoit l’interdiction des bureaux publics ou tous autres types de privations.</w:t>
      </w:r>
    </w:p>
    <w:p w:rsidR="00524230" w:rsidRPr="00461FCE" w:rsidRDefault="00524230" w:rsidP="00524230">
      <w:pPr>
        <w:pStyle w:val="Listecouleur-Accent1"/>
        <w:ind w:left="108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Pr="00461FCE" w:rsidRDefault="00524230" w:rsidP="00524230">
      <w:pPr>
        <w:pStyle w:val="Listecouleur-Accent1"/>
        <w:numPr>
          <w:ilvl w:val="0"/>
          <w:numId w:val="3"/>
        </w:num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461FCE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Conditions professionnelles</w:t>
      </w: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 :</w:t>
      </w:r>
    </w:p>
    <w:p w:rsidR="00524230" w:rsidRDefault="00524230" w:rsidP="00524230">
      <w:pPr>
        <w:shd w:val="clear" w:color="auto" w:fill="FFFFFF"/>
        <w:spacing w:after="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Doit être de nationalité tunisienne ;</w:t>
      </w:r>
    </w:p>
    <w:p w:rsidR="00524230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Ne doit pas faire l’objet d’une  </w:t>
      </w:r>
    </w:p>
    <w:p w:rsidR="00524230" w:rsidRPr="00107913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Être 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diplômé d'un établissement de cinéma, d'arts, de photographie ou établissement équivalent ;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ou bien être diplômé d’histoire, d’archéologie et de patrimoine justifiant d’un bon niveau et ayant achevé le mastère au moins ;</w:t>
      </w:r>
    </w:p>
    <w:p w:rsidR="00524230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Avoir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d'une expérience significative dans le domaine de création et montage d'un document audiovisuel selon les normes professionnelles ;</w:t>
      </w:r>
    </w:p>
    <w:p w:rsidR="00524230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Avoir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un bon niveau linguistique en arabe et en français, l'italien sera bien apprécié ;</w:t>
      </w:r>
    </w:p>
    <w:p w:rsidR="00524230" w:rsidRDefault="00524230" w:rsidP="00524230">
      <w:pPr>
        <w:pStyle w:val="Listecouleur-Accent1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Disponibilité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pour effectuer son travail sur tout le territoire tunisien et en Sicile en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Italie </w:t>
      </w:r>
      <w:r w:rsidRPr="00107913">
        <w:rPr>
          <w:rFonts w:ascii="Arial" w:eastAsia="Times New Roman" w:hAnsi="Arial"/>
          <w:color w:val="141414"/>
          <w:sz w:val="24"/>
          <w:szCs w:val="24"/>
          <w:lang w:eastAsia="fr-FR"/>
        </w:rPr>
        <w:t>;</w:t>
      </w: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 xml:space="preserve">Art.4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-</w:t>
      </w:r>
      <w:r w:rsidRPr="00CE3AD2"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 xml:space="preserve"> Durée de la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mission</w:t>
      </w:r>
    </w:p>
    <w:p w:rsidR="00524230" w:rsidRPr="00CE3AD2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</w:p>
    <w:p w:rsidR="00524230" w:rsidRPr="00CE3AD2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La collabora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tion avec la personne retenue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démarre le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1</w:t>
      </w:r>
      <w:r w:rsidRPr="00461FCE">
        <w:rPr>
          <w:rFonts w:ascii="Arial" w:eastAsia="Times New Roman" w:hAnsi="Arial"/>
          <w:color w:val="141414"/>
          <w:sz w:val="24"/>
          <w:szCs w:val="24"/>
          <w:vertAlign w:val="superscript"/>
          <w:lang w:eastAsia="fr-FR"/>
        </w:rPr>
        <w:t>er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juin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201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5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et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ce </w:t>
      </w: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pour 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une durée de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4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mois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de travail répartis sur la période allant du 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>1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er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juin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jusqu’au 31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décembre 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>2015.</w:t>
      </w:r>
    </w:p>
    <w:p w:rsidR="00524230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Art.5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-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Salaire et modalités de paiement</w:t>
      </w:r>
    </w:p>
    <w:p w:rsidR="00524230" w:rsidRPr="007F4C8F" w:rsidRDefault="00524230" w:rsidP="00524230">
      <w:pPr>
        <w:jc w:val="both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Les honoraires bruts de la mission, TVA et toutes charges sociales et fiscales non incluses, pour toute la durée de la collaboration, seront de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D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EUX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MILLE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SIX CENT 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EUROS (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2600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€) relatives à la ligne budgétaire 6.9 « Autres services sous-traités » dans le tableau budgétaire de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l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’</w:t>
      </w:r>
      <w:hyperlink r:id="rId15" w:history="1">
        <w:r w:rsidRPr="00CE3AD2">
          <w:rPr>
            <w:rFonts w:ascii="Arial" w:eastAsia="Times New Roman" w:hAnsi="Arial"/>
            <w:color w:val="141414"/>
            <w:sz w:val="24"/>
            <w:szCs w:val="24"/>
            <w:lang w:eastAsia="fr-FR"/>
          </w:rPr>
          <w:t>Institut Supérieur</w:t>
        </w:r>
      </w:hyperlink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d’Histoire de La Tunisie C</w:t>
      </w:r>
      <w:r w:rsidRPr="001A6BAC">
        <w:rPr>
          <w:rFonts w:ascii="Arial" w:eastAsia="Times New Roman" w:hAnsi="Arial"/>
          <w:color w:val="141414"/>
          <w:sz w:val="24"/>
          <w:szCs w:val="24"/>
          <w:lang w:eastAsia="fr-FR"/>
        </w:rPr>
        <w:t>ontemporaine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–ISHTC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. La liquidation et le paiement du dit montant seront réalisés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sous forme de salaire mensuel le long de la mission.</w:t>
      </w: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</w:t>
      </w:r>
    </w:p>
    <w:p w:rsidR="00524230" w:rsidRPr="00107913" w:rsidRDefault="00524230" w:rsidP="00524230">
      <w:pPr>
        <w:pStyle w:val="Listecouleur-Accent1"/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Pr="00FF2535" w:rsidRDefault="00524230" w:rsidP="00524230">
      <w:pPr>
        <w:shd w:val="clear" w:color="auto" w:fill="FFFFFF"/>
        <w:spacing w:after="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Art.6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-</w:t>
      </w:r>
      <w:r w:rsidRPr="00CE3AD2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Le dossier et modalité de candidature </w:t>
      </w:r>
    </w:p>
    <w:p w:rsidR="00524230" w:rsidRDefault="00524230" w:rsidP="00524230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15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>Le dossier est constitué des pièces suivantes :</w:t>
      </w:r>
    </w:p>
    <w:p w:rsidR="00524230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Une demande de candidature dûment remplie ;</w:t>
      </w:r>
    </w:p>
    <w:p w:rsidR="00524230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lastRenderedPageBreak/>
        <w:t>Une lettre de motivation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 ;</w:t>
      </w:r>
    </w:p>
    <w:p w:rsidR="00524230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color w:val="141414"/>
          <w:sz w:val="24"/>
          <w:szCs w:val="24"/>
          <w:lang w:eastAsia="fr-FR"/>
        </w:rPr>
        <w:t>Attestation du dernier diplôme ;</w:t>
      </w:r>
    </w:p>
    <w:p w:rsidR="00524230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CE3AD2">
        <w:rPr>
          <w:rFonts w:ascii="Arial" w:eastAsia="Times New Roman" w:hAnsi="Arial"/>
          <w:color w:val="141414"/>
          <w:sz w:val="24"/>
          <w:szCs w:val="24"/>
          <w:lang w:eastAsia="fr-FR"/>
        </w:rPr>
        <w:t>Curriculum vitae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 ;</w:t>
      </w:r>
    </w:p>
    <w:p w:rsidR="00524230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7F4C8F">
        <w:rPr>
          <w:rFonts w:ascii="Arial" w:eastAsia="Times New Roman" w:hAnsi="Arial"/>
          <w:color w:val="141414"/>
          <w:sz w:val="24"/>
          <w:szCs w:val="24"/>
          <w:lang w:eastAsia="fr-FR"/>
        </w:rPr>
        <w:t>Tout autre document pouvant appuyer sa candidature et justifiant les compétences techniques en matière de photographie et vidéo appliqués au  patrimoine (lettres de recommandation, diplômes...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) ;</w:t>
      </w:r>
    </w:p>
    <w:p w:rsidR="00524230" w:rsidRPr="007F4C8F" w:rsidRDefault="00524230" w:rsidP="0052423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7F4C8F">
        <w:rPr>
          <w:rFonts w:ascii="Arial" w:eastAsia="Times New Roman" w:hAnsi="Arial"/>
          <w:color w:val="141414"/>
          <w:sz w:val="24"/>
          <w:szCs w:val="24"/>
          <w:lang w:eastAsia="fr-FR"/>
        </w:rPr>
        <w:t>Un dossier technique et artistique prouvant les compétences et l’expérience dans le domaine de la photographie et des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vidéos appliqués au patrimoine ;</w:t>
      </w:r>
    </w:p>
    <w:p w:rsidR="00524230" w:rsidRDefault="00524230" w:rsidP="00524230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>Le dossier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 de candidature</w:t>
      </w: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, rédigé en français,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doit être envoyé ou déposé sous format </w:t>
      </w:r>
      <w:r w:rsidRPr="00FF2535">
        <w:rPr>
          <w:rFonts w:ascii="Arial" w:eastAsia="Times New Roman" w:hAnsi="Arial"/>
          <w:color w:val="141414"/>
          <w:sz w:val="24"/>
          <w:szCs w:val="24"/>
          <w:lang w:eastAsia="fr-FR"/>
        </w:rPr>
        <w:t xml:space="preserve">papiers </w:t>
      </w:r>
      <w:r>
        <w:rPr>
          <w:rFonts w:ascii="Arial" w:eastAsia="Times New Roman" w:hAnsi="Arial"/>
          <w:color w:val="141414"/>
          <w:sz w:val="24"/>
          <w:szCs w:val="24"/>
          <w:lang w:eastAsia="fr-FR"/>
        </w:rPr>
        <w:t>sous pli, avec la mention « Projet TATRAC », au nom de :</w:t>
      </w:r>
    </w:p>
    <w:p w:rsidR="00524230" w:rsidRDefault="00524230" w:rsidP="00524230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Monsieur le Directeur de l’</w:t>
      </w:r>
      <w:hyperlink r:id="rId16" w:history="1">
        <w:r w:rsidRPr="00085E28">
          <w:rPr>
            <w:rFonts w:ascii="Arial" w:eastAsia="Times New Roman" w:hAnsi="Arial"/>
            <w:b/>
            <w:sz w:val="24"/>
            <w:szCs w:val="24"/>
            <w:lang w:eastAsia="fr-FR"/>
          </w:rPr>
          <w:t>Institut Supérieur</w:t>
        </w:r>
      </w:hyperlink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 d’Histoire de La Tunisie contemporaine</w:t>
      </w:r>
    </w:p>
    <w:p w:rsidR="00524230" w:rsidRPr="00085E28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Pr="00085E28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Campus Universitaire de La </w:t>
      </w:r>
      <w:proofErr w:type="spellStart"/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Manouba</w:t>
      </w:r>
      <w:proofErr w:type="spellEnd"/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 xml:space="preserve">2010 </w:t>
      </w:r>
      <w:proofErr w:type="spellStart"/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Manouba</w:t>
      </w:r>
      <w:proofErr w:type="spellEnd"/>
      <w:r w:rsidRPr="00085E28">
        <w:rPr>
          <w:rFonts w:ascii="Arial" w:eastAsia="Times New Roman" w:hAnsi="Arial"/>
          <w:b/>
          <w:color w:val="141414"/>
          <w:sz w:val="24"/>
          <w:szCs w:val="24"/>
          <w:lang w:eastAsia="fr-FR"/>
        </w:rPr>
        <w:t>, Tunisie</w:t>
      </w:r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Cs/>
          <w:color w:val="141414"/>
          <w:sz w:val="24"/>
          <w:szCs w:val="24"/>
          <w:lang w:eastAsia="fr-FR"/>
        </w:rPr>
      </w:pPr>
    </w:p>
    <w:p w:rsidR="00524230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Cs/>
          <w:color w:val="141414"/>
          <w:sz w:val="24"/>
          <w:szCs w:val="24"/>
          <w:lang w:eastAsia="fr-FR"/>
        </w:rPr>
      </w:pPr>
      <w:r w:rsidRPr="0017140F">
        <w:rPr>
          <w:rFonts w:ascii="Arial" w:eastAsia="Times New Roman" w:hAnsi="Arial"/>
          <w:bCs/>
          <w:color w:val="141414"/>
          <w:sz w:val="24"/>
          <w:szCs w:val="24"/>
          <w:lang w:eastAsia="fr-FR"/>
        </w:rPr>
        <w:t>Date limite de dépôt de candidatures :</w:t>
      </w:r>
    </w:p>
    <w:p w:rsidR="00524230" w:rsidRPr="0017140F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Cs/>
          <w:color w:val="141414"/>
          <w:sz w:val="24"/>
          <w:szCs w:val="24"/>
          <w:lang w:eastAsia="fr-FR"/>
        </w:rPr>
      </w:pPr>
    </w:p>
    <w:p w:rsidR="00524230" w:rsidRPr="00FF2535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141414"/>
          <w:sz w:val="24"/>
          <w:szCs w:val="24"/>
          <w:lang w:eastAsia="fr-FR"/>
        </w:rPr>
      </w:pPr>
      <w:r>
        <w:rPr>
          <w:rFonts w:ascii="Arial" w:eastAsia="Times New Roman" w:hAnsi="Arial"/>
          <w:b/>
          <w:bCs/>
          <w:color w:val="141414"/>
          <w:sz w:val="24"/>
          <w:szCs w:val="24"/>
          <w:lang w:eastAsia="fr-FR"/>
        </w:rPr>
        <w:t>15 mai 2015 à 17h00</w:t>
      </w:r>
    </w:p>
    <w:p w:rsidR="00524230" w:rsidRPr="00085E28" w:rsidRDefault="00524230" w:rsidP="00524230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b/>
          <w:color w:val="141414"/>
          <w:sz w:val="24"/>
          <w:szCs w:val="24"/>
          <w:lang w:eastAsia="fr-FR"/>
        </w:rPr>
      </w:pPr>
    </w:p>
    <w:p w:rsidR="00524230" w:rsidRPr="00FF2535" w:rsidRDefault="00524230" w:rsidP="00524230">
      <w:pPr>
        <w:shd w:val="clear" w:color="auto" w:fill="FFFFFF"/>
        <w:spacing w:after="0" w:line="240" w:lineRule="auto"/>
        <w:rPr>
          <w:rFonts w:ascii="Arial" w:eastAsia="Times New Roman" w:hAnsi="Arial"/>
          <w:color w:val="141414"/>
          <w:sz w:val="24"/>
          <w:szCs w:val="24"/>
          <w:lang w:eastAsia="fr-FR"/>
        </w:rPr>
      </w:pPr>
    </w:p>
    <w:p w:rsidR="004A64AB" w:rsidRPr="00884161" w:rsidRDefault="004A64AB" w:rsidP="00524230">
      <w:pPr>
        <w:pStyle w:val="Default"/>
        <w:jc w:val="both"/>
        <w:rPr>
          <w:b/>
          <w:bCs/>
          <w:sz w:val="28"/>
          <w:szCs w:val="28"/>
          <w:lang w:val="en-US"/>
        </w:rPr>
      </w:pPr>
    </w:p>
    <w:sectPr w:rsidR="004A64AB" w:rsidRPr="00884161" w:rsidSect="004211D9">
      <w:pgSz w:w="11906" w:h="16838"/>
      <w:pgMar w:top="112" w:right="1417" w:bottom="1417" w:left="1417" w:header="14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CF" w:rsidRDefault="009C32CF" w:rsidP="004211D9">
      <w:pPr>
        <w:spacing w:after="0" w:line="240" w:lineRule="auto"/>
      </w:pPr>
      <w:r>
        <w:separator/>
      </w:r>
    </w:p>
  </w:endnote>
  <w:endnote w:type="continuationSeparator" w:id="0">
    <w:p w:rsidR="009C32CF" w:rsidRDefault="009C32CF" w:rsidP="004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CF" w:rsidRDefault="009C32CF" w:rsidP="004211D9">
      <w:pPr>
        <w:spacing w:after="0" w:line="240" w:lineRule="auto"/>
      </w:pPr>
      <w:r>
        <w:separator/>
      </w:r>
    </w:p>
  </w:footnote>
  <w:footnote w:type="continuationSeparator" w:id="0">
    <w:p w:rsidR="009C32CF" w:rsidRDefault="009C32CF" w:rsidP="0042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0E4BE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D85DAC"/>
    <w:multiLevelType w:val="hybridMultilevel"/>
    <w:tmpl w:val="2882831C"/>
    <w:lvl w:ilvl="0" w:tplc="F40E5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54B3"/>
    <w:multiLevelType w:val="hybridMultilevel"/>
    <w:tmpl w:val="678CBBAA"/>
    <w:lvl w:ilvl="0" w:tplc="02BE9A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134A8C"/>
    <w:multiLevelType w:val="hybridMultilevel"/>
    <w:tmpl w:val="8D8A64BC"/>
    <w:lvl w:ilvl="0" w:tplc="813662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13"/>
    <w:rsid w:val="004211D9"/>
    <w:rsid w:val="0048601C"/>
    <w:rsid w:val="004A64AB"/>
    <w:rsid w:val="004C2948"/>
    <w:rsid w:val="00524230"/>
    <w:rsid w:val="00550995"/>
    <w:rsid w:val="00884161"/>
    <w:rsid w:val="00942DBF"/>
    <w:rsid w:val="009C32CF"/>
    <w:rsid w:val="00A87D65"/>
    <w:rsid w:val="00C83470"/>
    <w:rsid w:val="00EB3037"/>
    <w:rsid w:val="00FD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3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11D9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En-tteCar">
    <w:name w:val="En-tête Car"/>
    <w:link w:val="En-tte"/>
    <w:uiPriority w:val="99"/>
    <w:semiHidden/>
    <w:rsid w:val="004211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211D9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PieddepageCar">
    <w:name w:val="Pied de page Car"/>
    <w:link w:val="Pieddepage"/>
    <w:uiPriority w:val="99"/>
    <w:semiHidden/>
    <w:rsid w:val="004211D9"/>
    <w:rPr>
      <w:sz w:val="22"/>
      <w:szCs w:val="22"/>
      <w:lang w:eastAsia="en-US"/>
    </w:rPr>
  </w:style>
  <w:style w:type="paragraph" w:customStyle="1" w:styleId="Default">
    <w:name w:val="Default"/>
    <w:rsid w:val="004211D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4A64AB"/>
    <w:rPr>
      <w:color w:val="0000FF"/>
      <w:u w:val="single"/>
    </w:rPr>
  </w:style>
  <w:style w:type="paragraph" w:styleId="Listecouleur-Accent1">
    <w:name w:val="Colorful List Accent 1"/>
    <w:basedOn w:val="Normal"/>
    <w:uiPriority w:val="34"/>
    <w:qFormat/>
    <w:rsid w:val="00524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ris-iea.f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ris-iea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paris-iea.fr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pr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Links>
    <vt:vector size="24" baseType="variant"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http://paris-iea.fr/</vt:lpwstr>
      </vt:variant>
      <vt:variant>
        <vt:lpwstr/>
      </vt:variant>
      <vt:variant>
        <vt:i4>1769493</vt:i4>
      </vt:variant>
      <vt:variant>
        <vt:i4>6</vt:i4>
      </vt:variant>
      <vt:variant>
        <vt:i4>0</vt:i4>
      </vt:variant>
      <vt:variant>
        <vt:i4>5</vt:i4>
      </vt:variant>
      <vt:variant>
        <vt:lpwstr>http://paris-iea.fr/</vt:lpwstr>
      </vt:variant>
      <vt:variant>
        <vt:lpwstr/>
      </vt:variant>
      <vt:variant>
        <vt:i4>7995448</vt:i4>
      </vt:variant>
      <vt:variant>
        <vt:i4>3</vt:i4>
      </vt:variant>
      <vt:variant>
        <vt:i4>0</vt:i4>
      </vt:variant>
      <vt:variant>
        <vt:i4>5</vt:i4>
      </vt:variant>
      <vt:variant>
        <vt:lpwstr>http://www.anpr.tn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http://paris-iea.fr/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soniazgarni</cp:lastModifiedBy>
  <cp:revision>2</cp:revision>
  <dcterms:created xsi:type="dcterms:W3CDTF">2015-05-05T07:22:00Z</dcterms:created>
  <dcterms:modified xsi:type="dcterms:W3CDTF">2015-05-05T07:22:00Z</dcterms:modified>
</cp:coreProperties>
</file>